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100" w:rsidRPr="007B0100" w:rsidRDefault="007B0100" w:rsidP="007B0100">
      <w:pPr>
        <w:keepNext/>
        <w:keepLines/>
        <w:spacing w:before="480" w:after="0" w:line="480" w:lineRule="auto"/>
        <w:outlineLvl w:val="0"/>
        <w:rPr>
          <w:rFonts w:asciiTheme="majorHAnsi" w:eastAsia="MS Gothic" w:hAnsiTheme="majorHAnsi" w:cstheme="majorBidi"/>
          <w:b/>
          <w:bCs/>
          <w:color w:val="365F91" w:themeColor="accent1" w:themeShade="BF"/>
          <w:sz w:val="28"/>
          <w:szCs w:val="28"/>
        </w:rPr>
      </w:pPr>
      <w:bookmarkStart w:id="0" w:name="_GoBack"/>
      <w:bookmarkEnd w:id="0"/>
      <w:r w:rsidRPr="007B0100">
        <w:rPr>
          <w:rFonts w:asciiTheme="majorHAnsi" w:eastAsia="MS Gothic" w:hAnsiTheme="majorHAnsi" w:cstheme="majorBidi"/>
          <w:b/>
          <w:bCs/>
          <w:color w:val="365F91" w:themeColor="accent1" w:themeShade="BF"/>
          <w:sz w:val="28"/>
          <w:szCs w:val="28"/>
        </w:rPr>
        <w:t>Bristol Bay Regional Vision</w:t>
      </w:r>
    </w:p>
    <w:p w:rsidR="007B0100" w:rsidRPr="007B0100" w:rsidRDefault="007B0100" w:rsidP="007B0100">
      <w:pPr>
        <w:spacing w:after="0" w:line="240" w:lineRule="auto"/>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 xml:space="preserve">The Bristol Bay Partnership sponsored the Bristol Bay Regional Vision Project.  The Bristol Bay Partnership is a group of leaders from the regional organizations often referred to as the 5-BBs (BBAHC, BBEDC, BBHA, BBNC, and BBNA).  They chose BBNA to act as the lead organization and administer the project. Together they selected the consulting firm and eight Commissioners who oversaw the project. </w:t>
      </w:r>
    </w:p>
    <w:p w:rsidR="007B0100" w:rsidRPr="007B0100" w:rsidRDefault="007B0100" w:rsidP="007B0100">
      <w:pPr>
        <w:spacing w:after="0" w:line="240" w:lineRule="auto"/>
        <w:ind w:firstLine="720"/>
        <w:jc w:val="both"/>
        <w:rPr>
          <w:rFonts w:ascii="Times New Roman" w:eastAsia="MS Mincho" w:hAnsi="Times New Roman" w:cs="Times New Roman"/>
          <w:sz w:val="24"/>
          <w:szCs w:val="24"/>
        </w:rPr>
      </w:pPr>
    </w:p>
    <w:p w:rsidR="007B0100" w:rsidRPr="007B0100" w:rsidRDefault="007B0100" w:rsidP="007B0100">
      <w:pPr>
        <w:spacing w:after="0" w:line="240" w:lineRule="auto"/>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 xml:space="preserve">Public meetings were held throughout the region providing the widest possible grassroots participation.  It was the first regional planning process of its kind in the region and set an example for regional planning in the state. The Bristol Bay Regional Vision Statement reflects the shared values of the people of the region based on input from meeting participants. Participants responded to an identical set of questions using electronic voting keypads, and engaged in conversations around issues important to them in their community. </w:t>
      </w:r>
    </w:p>
    <w:p w:rsidR="007B0100" w:rsidRPr="007B0100" w:rsidRDefault="007B0100" w:rsidP="007B0100">
      <w:pPr>
        <w:spacing w:after="0" w:line="240" w:lineRule="auto"/>
        <w:jc w:val="both"/>
        <w:rPr>
          <w:rFonts w:ascii="Times New Roman" w:eastAsia="MS Mincho" w:hAnsi="Times New Roman" w:cs="Times New Roman"/>
          <w:sz w:val="24"/>
          <w:szCs w:val="24"/>
        </w:rPr>
      </w:pPr>
    </w:p>
    <w:p w:rsidR="007B0100" w:rsidRPr="007B0100" w:rsidRDefault="007B0100" w:rsidP="007B0100">
      <w:pPr>
        <w:spacing w:after="0" w:line="240" w:lineRule="auto"/>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Although the region is diverse covering a vast area encompassing three Alaska Native races with differing cultures, social structures, resources, and economies, the project discovered that there is strong agreement about the most important aspects of peoples’ lives and their vision for the future.</w:t>
      </w:r>
    </w:p>
    <w:p w:rsidR="007B0100" w:rsidRPr="007B0100" w:rsidRDefault="007B0100" w:rsidP="007B0100">
      <w:pPr>
        <w:spacing w:after="0" w:line="240" w:lineRule="auto"/>
        <w:ind w:firstLine="720"/>
        <w:jc w:val="both"/>
        <w:rPr>
          <w:rFonts w:ascii="Times New Roman" w:eastAsia="MS Mincho" w:hAnsi="Times New Roman" w:cs="Times New Roman"/>
          <w:sz w:val="24"/>
          <w:szCs w:val="24"/>
        </w:rPr>
      </w:pPr>
    </w:p>
    <w:p w:rsidR="007B0100" w:rsidRPr="007B0100" w:rsidRDefault="007B0100" w:rsidP="007B0100">
      <w:pPr>
        <w:spacing w:after="0" w:line="240" w:lineRule="auto"/>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The following themes emerged from meeting results:</w:t>
      </w:r>
    </w:p>
    <w:p w:rsidR="007B0100" w:rsidRPr="007B0100" w:rsidRDefault="007B0100" w:rsidP="007B0100">
      <w:pPr>
        <w:numPr>
          <w:ilvl w:val="0"/>
          <w:numId w:val="2"/>
        </w:numPr>
        <w:spacing w:before="120" w:after="120" w:line="240" w:lineRule="auto"/>
        <w:ind w:hanging="270"/>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Participants in all communities hold family, connection to the land and water, and subsistence activities as the most important parts of their lives today, and expect the same to be true 25 years from now.</w:t>
      </w:r>
    </w:p>
    <w:p w:rsidR="007B0100" w:rsidRPr="007B0100" w:rsidRDefault="007B0100" w:rsidP="007B0100">
      <w:pPr>
        <w:numPr>
          <w:ilvl w:val="0"/>
          <w:numId w:val="2"/>
        </w:numPr>
        <w:spacing w:before="120" w:after="120" w:line="240" w:lineRule="auto"/>
        <w:ind w:hanging="270"/>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 xml:space="preserve">When asked about things they would like to change in their community, the most often cited issue was alcohol/drug abuse and/or fear of domestic violence. </w:t>
      </w:r>
    </w:p>
    <w:p w:rsidR="007B0100" w:rsidRPr="007B0100" w:rsidRDefault="007B0100" w:rsidP="007B0100">
      <w:pPr>
        <w:numPr>
          <w:ilvl w:val="0"/>
          <w:numId w:val="2"/>
        </w:numPr>
        <w:spacing w:before="120" w:after="120" w:line="240" w:lineRule="auto"/>
        <w:ind w:hanging="270"/>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 xml:space="preserve">People said the goal of education is to prepare youth to graduate with skills needed for success in college or vocational schools. </w:t>
      </w:r>
    </w:p>
    <w:p w:rsidR="007B0100" w:rsidRPr="007B0100" w:rsidRDefault="007B0100" w:rsidP="007B0100">
      <w:pPr>
        <w:numPr>
          <w:ilvl w:val="0"/>
          <w:numId w:val="2"/>
        </w:numPr>
        <w:spacing w:before="120" w:after="120" w:line="240" w:lineRule="auto"/>
        <w:ind w:hanging="270"/>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Respondents welcome sustainable economic development that is based largely on renewable resources. Overwhelmingly, people said large development must not threaten land and waters.</w:t>
      </w:r>
    </w:p>
    <w:p w:rsidR="007B0100" w:rsidRPr="007B0100" w:rsidRDefault="007B0100" w:rsidP="007B0100">
      <w:pPr>
        <w:numPr>
          <w:ilvl w:val="0"/>
          <w:numId w:val="2"/>
        </w:numPr>
        <w:spacing w:before="120" w:after="120" w:line="240" w:lineRule="auto"/>
        <w:ind w:hanging="270"/>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People believe they can live healthy and productive lives here in the next 25 years.</w:t>
      </w:r>
    </w:p>
    <w:p w:rsidR="007B0100" w:rsidRPr="007B0100" w:rsidRDefault="007B0100" w:rsidP="007B0100">
      <w:pPr>
        <w:spacing w:after="0" w:line="240" w:lineRule="auto"/>
        <w:jc w:val="both"/>
        <w:rPr>
          <w:rFonts w:ascii="Times New Roman" w:eastAsia="MS Mincho" w:hAnsi="Times New Roman" w:cs="Times New Roman"/>
          <w:sz w:val="24"/>
          <w:szCs w:val="24"/>
        </w:rPr>
      </w:pPr>
      <w:r w:rsidRPr="007B0100">
        <w:rPr>
          <w:rFonts w:ascii="Times New Roman" w:eastAsia="MS Mincho" w:hAnsi="Times New Roman" w:cs="Times New Roman"/>
          <w:sz w:val="24"/>
          <w:szCs w:val="24"/>
        </w:rPr>
        <w:t>On January 30, 2011, the Commissioners drafted the regional vision statement after listening to the opinions and concerns of nearly 1,000 people.  The vision statement was presented in a second round of meetings where people approved the vision statement, which now has the authority of the people.</w:t>
      </w:r>
    </w:p>
    <w:p w:rsidR="007B0100" w:rsidRPr="007B0100" w:rsidRDefault="007B0100" w:rsidP="007B0100">
      <w:pPr>
        <w:spacing w:after="0" w:line="240" w:lineRule="auto"/>
        <w:jc w:val="both"/>
        <w:rPr>
          <w:rFonts w:ascii="Times New Roman" w:eastAsia="MS Mincho" w:hAnsi="Times New Roman" w:cs="Times New Roman"/>
          <w:bCs/>
          <w:sz w:val="24"/>
          <w:szCs w:val="24"/>
        </w:rPr>
      </w:pPr>
    </w:p>
    <w:p w:rsidR="007B0100" w:rsidRPr="007B0100" w:rsidRDefault="007B0100" w:rsidP="007B0100">
      <w:pPr>
        <w:spacing w:after="0" w:line="240" w:lineRule="auto"/>
        <w:jc w:val="both"/>
        <w:rPr>
          <w:rFonts w:ascii="Times New Roman" w:eastAsia="MS Mincho" w:hAnsi="Times New Roman" w:cs="Times New Roman"/>
          <w:bCs/>
          <w:sz w:val="24"/>
          <w:szCs w:val="24"/>
          <w:vertAlign w:val="superscript"/>
        </w:rPr>
      </w:pPr>
      <w:r w:rsidRPr="007B0100">
        <w:rPr>
          <w:rFonts w:ascii="Times New Roman" w:eastAsia="MS Mincho" w:hAnsi="Times New Roman" w:cs="Times New Roman"/>
          <w:bCs/>
          <w:sz w:val="24"/>
          <w:szCs w:val="24"/>
        </w:rPr>
        <w:t xml:space="preserve">While the goal of the project was at the regional level, it was recognized that the information would be valuable community by community.  </w:t>
      </w:r>
      <w:r w:rsidRPr="007B0100">
        <w:rPr>
          <w:rFonts w:ascii="Times New Roman" w:eastAsia="MS Mincho" w:hAnsi="Times New Roman" w:cs="Times New Roman"/>
          <w:sz w:val="24"/>
          <w:szCs w:val="24"/>
        </w:rPr>
        <w:t xml:space="preserve">The </w:t>
      </w:r>
      <w:r w:rsidRPr="007B0100" w:rsidDel="008607C5">
        <w:rPr>
          <w:rFonts w:ascii="Times New Roman" w:eastAsia="MS Mincho" w:hAnsi="Times New Roman" w:cs="Times New Roman"/>
          <w:sz w:val="24"/>
          <w:szCs w:val="24"/>
        </w:rPr>
        <w:t>electronic polling results and discussion notes fo</w:t>
      </w:r>
      <w:r w:rsidRPr="007B0100">
        <w:rPr>
          <w:rFonts w:ascii="Times New Roman" w:eastAsia="MS Mincho" w:hAnsi="Times New Roman" w:cs="Times New Roman"/>
          <w:sz w:val="24"/>
          <w:szCs w:val="24"/>
        </w:rPr>
        <w:t xml:space="preserve">r each community and the region as a whole are posted on the project website </w:t>
      </w:r>
      <w:hyperlink r:id="rId8" w:history="1">
        <w:r w:rsidRPr="007B0100">
          <w:rPr>
            <w:rFonts w:ascii="Times New Roman" w:eastAsia="MS Mincho" w:hAnsi="Times New Roman" w:cs="Times New Roman"/>
            <w:i/>
            <w:color w:val="8E58B6"/>
            <w:sz w:val="24"/>
            <w:szCs w:val="24"/>
            <w:u w:val="single"/>
          </w:rPr>
          <w:t>w</w:t>
        </w:r>
        <w:r w:rsidRPr="007B0100" w:rsidDel="008607C5">
          <w:rPr>
            <w:rFonts w:ascii="Times New Roman" w:eastAsia="MS Mincho" w:hAnsi="Times New Roman" w:cs="Times New Roman"/>
            <w:i/>
            <w:color w:val="8E58B6"/>
            <w:sz w:val="24"/>
            <w:szCs w:val="24"/>
            <w:u w:val="single"/>
          </w:rPr>
          <w:t>ww.bristolbayvision.org</w:t>
        </w:r>
      </w:hyperlink>
      <w:r w:rsidRPr="007B0100">
        <w:rPr>
          <w:rFonts w:ascii="Times New Roman" w:eastAsia="MS Mincho" w:hAnsi="Times New Roman" w:cs="Times New Roman"/>
          <w:sz w:val="24"/>
          <w:szCs w:val="24"/>
        </w:rPr>
        <w:t>.</w:t>
      </w:r>
      <w:r w:rsidRPr="007B0100">
        <w:rPr>
          <w:rFonts w:ascii="Times New Roman" w:eastAsia="MS Mincho" w:hAnsi="Times New Roman" w:cs="Times New Roman"/>
          <w:bCs/>
          <w:sz w:val="24"/>
          <w:szCs w:val="24"/>
          <w:vertAlign w:val="superscript"/>
        </w:rPr>
        <w:t xml:space="preserve"> </w:t>
      </w:r>
    </w:p>
    <w:p w:rsidR="007B0100" w:rsidRPr="007B0100" w:rsidRDefault="007B0100" w:rsidP="007B0100">
      <w:pPr>
        <w:spacing w:after="0" w:line="240" w:lineRule="auto"/>
        <w:jc w:val="both"/>
        <w:rPr>
          <w:rFonts w:ascii="Times New Roman" w:eastAsia="MS Mincho" w:hAnsi="Times New Roman" w:cs="Times New Roman"/>
          <w:bCs/>
          <w:sz w:val="24"/>
          <w:szCs w:val="24"/>
        </w:rPr>
      </w:pPr>
    </w:p>
    <w:p w:rsidR="007B0100" w:rsidRPr="007B0100" w:rsidRDefault="007B0100" w:rsidP="007B0100">
      <w:pPr>
        <w:spacing w:after="0" w:line="240" w:lineRule="auto"/>
        <w:ind w:right="-360"/>
        <w:rPr>
          <w:rFonts w:ascii="Times New Roman" w:eastAsia="Times" w:hAnsi="Times New Roman" w:cs="Times New Roman"/>
          <w:sz w:val="24"/>
          <w:szCs w:val="24"/>
        </w:rPr>
      </w:pPr>
    </w:p>
    <w:p w:rsidR="007B0100" w:rsidRPr="007B0100" w:rsidRDefault="007B0100" w:rsidP="007B0100">
      <w:pPr>
        <w:keepNext/>
        <w:spacing w:after="0" w:line="240" w:lineRule="auto"/>
        <w:rPr>
          <w:rFonts w:ascii="Calibri" w:eastAsia="MS Mincho" w:hAnsi="Calibri" w:cs="Times New Roman"/>
          <w:b/>
          <w:bCs/>
          <w:sz w:val="18"/>
          <w:szCs w:val="18"/>
        </w:rPr>
      </w:pPr>
      <w:bookmarkStart w:id="1" w:name="_Toc360543688"/>
      <w:r w:rsidRPr="007B0100">
        <w:rPr>
          <w:rFonts w:ascii="Calibri" w:eastAsia="MS Mincho" w:hAnsi="Calibri" w:cs="Times New Roman"/>
          <w:b/>
          <w:bCs/>
          <w:sz w:val="18"/>
          <w:szCs w:val="18"/>
        </w:rPr>
        <w:t xml:space="preserve">Table </w:t>
      </w:r>
      <w:r w:rsidRPr="007B0100">
        <w:rPr>
          <w:rFonts w:ascii="Calibri" w:eastAsia="MS Mincho" w:hAnsi="Calibri" w:cs="Times New Roman"/>
          <w:b/>
          <w:bCs/>
          <w:sz w:val="18"/>
          <w:szCs w:val="18"/>
        </w:rPr>
        <w:fldChar w:fldCharType="begin"/>
      </w:r>
      <w:r w:rsidRPr="007B0100">
        <w:rPr>
          <w:rFonts w:ascii="Calibri" w:eastAsia="MS Mincho" w:hAnsi="Calibri" w:cs="Times New Roman"/>
          <w:b/>
          <w:bCs/>
          <w:sz w:val="18"/>
          <w:szCs w:val="18"/>
        </w:rPr>
        <w:instrText xml:space="preserve"> SEQ Table \* ARABIC </w:instrText>
      </w:r>
      <w:r w:rsidRPr="007B0100">
        <w:rPr>
          <w:rFonts w:ascii="Calibri" w:eastAsia="MS Mincho" w:hAnsi="Calibri" w:cs="Times New Roman"/>
          <w:b/>
          <w:bCs/>
          <w:sz w:val="18"/>
          <w:szCs w:val="18"/>
        </w:rPr>
        <w:fldChar w:fldCharType="separate"/>
      </w:r>
      <w:r w:rsidRPr="007B0100">
        <w:rPr>
          <w:rFonts w:ascii="Calibri" w:eastAsia="MS Mincho" w:hAnsi="Calibri" w:cs="Times New Roman"/>
          <w:b/>
          <w:bCs/>
          <w:noProof/>
          <w:sz w:val="18"/>
          <w:szCs w:val="18"/>
        </w:rPr>
        <w:t>32</w:t>
      </w:r>
      <w:r w:rsidRPr="007B0100">
        <w:rPr>
          <w:rFonts w:ascii="Calibri" w:eastAsia="MS Mincho" w:hAnsi="Calibri" w:cs="Times New Roman"/>
          <w:b/>
          <w:bCs/>
          <w:noProof/>
          <w:sz w:val="18"/>
          <w:szCs w:val="18"/>
        </w:rPr>
        <w:fldChar w:fldCharType="end"/>
      </w:r>
      <w:r w:rsidRPr="007B0100">
        <w:rPr>
          <w:rFonts w:ascii="Calibri" w:eastAsia="MS Mincho" w:hAnsi="Calibri" w:cs="Times New Roman"/>
          <w:b/>
          <w:bCs/>
          <w:noProof/>
          <w:sz w:val="18"/>
          <w:szCs w:val="18"/>
        </w:rPr>
        <w:t xml:space="preserve">: </w:t>
      </w:r>
      <w:r w:rsidRPr="007B0100">
        <w:rPr>
          <w:rFonts w:ascii="Calibri" w:eastAsia="MS Mincho" w:hAnsi="Calibri" w:cs="Times New Roman"/>
          <w:b/>
          <w:bCs/>
          <w:sz w:val="18"/>
          <w:szCs w:val="18"/>
        </w:rPr>
        <w:t xml:space="preserve"> Bristol Bay Regional Vision Meetings and Attendance</w:t>
      </w:r>
      <w:bookmarkEnd w:id="1"/>
    </w:p>
    <w:tbl>
      <w:tblPr>
        <w:tblW w:w="9396" w:type="dxa"/>
        <w:tblBorders>
          <w:top w:val="single" w:sz="8" w:space="0" w:color="9CAE88"/>
          <w:left w:val="single" w:sz="8" w:space="0" w:color="9CAE88"/>
          <w:bottom w:val="single" w:sz="8" w:space="0" w:color="9CAE88"/>
          <w:right w:val="single" w:sz="8" w:space="0" w:color="9CAE88"/>
          <w:insideH w:val="single" w:sz="8" w:space="0" w:color="9CAE88"/>
        </w:tblBorders>
        <w:tblLayout w:type="fixed"/>
        <w:tblLook w:val="04A0" w:firstRow="1" w:lastRow="0" w:firstColumn="1" w:lastColumn="0" w:noHBand="0" w:noVBand="1"/>
      </w:tblPr>
      <w:tblGrid>
        <w:gridCol w:w="1638"/>
        <w:gridCol w:w="1221"/>
        <w:gridCol w:w="994"/>
        <w:gridCol w:w="900"/>
        <w:gridCol w:w="900"/>
        <w:gridCol w:w="1321"/>
        <w:gridCol w:w="1211"/>
        <w:gridCol w:w="1211"/>
      </w:tblGrid>
      <w:tr w:rsidR="007B0100" w:rsidRPr="007B0100" w:rsidTr="00410C39">
        <w:trPr>
          <w:trHeight w:val="476"/>
        </w:trPr>
        <w:tc>
          <w:tcPr>
            <w:tcW w:w="1638" w:type="dxa"/>
            <w:vMerge w:val="restart"/>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Community</w:t>
            </w:r>
          </w:p>
        </w:tc>
        <w:tc>
          <w:tcPr>
            <w:tcW w:w="2215" w:type="dxa"/>
            <w:gridSpan w:val="2"/>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Meeting Dates</w:t>
            </w:r>
          </w:p>
        </w:tc>
        <w:tc>
          <w:tcPr>
            <w:tcW w:w="1800" w:type="dxa"/>
            <w:gridSpan w:val="2"/>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ind w:firstLine="17"/>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Attendance</w:t>
            </w:r>
          </w:p>
        </w:tc>
        <w:tc>
          <w:tcPr>
            <w:tcW w:w="1321" w:type="dxa"/>
            <w:vMerge w:val="restart"/>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ind w:firstLine="17"/>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 xml:space="preserve">% of </w:t>
            </w:r>
          </w:p>
          <w:p w:rsidR="007B0100" w:rsidRPr="007B0100" w:rsidRDefault="007B0100" w:rsidP="007B0100">
            <w:pPr>
              <w:spacing w:after="0" w:line="240" w:lineRule="auto"/>
              <w:ind w:firstLine="17"/>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Round 2 Participants who attended Round 1</w:t>
            </w:r>
          </w:p>
        </w:tc>
        <w:tc>
          <w:tcPr>
            <w:tcW w:w="1211" w:type="dxa"/>
            <w:vMerge w:val="restart"/>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ind w:firstLine="17"/>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2011 Population</w:t>
            </w:r>
          </w:p>
        </w:tc>
        <w:tc>
          <w:tcPr>
            <w:tcW w:w="1211" w:type="dxa"/>
            <w:vMerge w:val="restart"/>
            <w:tcBorders>
              <w:top w:val="single" w:sz="4" w:space="0" w:color="365F91"/>
              <w:left w:val="single" w:sz="4" w:space="0" w:color="365F91"/>
              <w:bottom w:val="single" w:sz="4" w:space="0" w:color="365F91"/>
              <w:right w:val="single" w:sz="4" w:space="0" w:color="365F91"/>
            </w:tcBorders>
            <w:shd w:val="clear" w:color="auto" w:fill="76923C"/>
            <w:vAlign w:val="center"/>
          </w:tcPr>
          <w:p w:rsidR="007B0100" w:rsidRPr="007B0100" w:rsidRDefault="007B0100" w:rsidP="007B0100">
            <w:pPr>
              <w:spacing w:after="0" w:line="240" w:lineRule="auto"/>
              <w:ind w:firstLine="17"/>
              <w:jc w:val="center"/>
              <w:rPr>
                <w:rFonts w:ascii="Cambria" w:eastAsia="Calibri" w:hAnsi="Cambria" w:cs="Times New Roman"/>
                <w:b/>
                <w:bCs/>
                <w:color w:val="FFFFFF"/>
                <w:sz w:val="18"/>
                <w:szCs w:val="18"/>
              </w:rPr>
            </w:pPr>
            <w:r w:rsidRPr="007B0100">
              <w:rPr>
                <w:rFonts w:ascii="Cambria" w:eastAsia="Calibri" w:hAnsi="Cambria" w:cs="Times New Roman"/>
                <w:b/>
                <w:bCs/>
                <w:color w:val="FFFFFF"/>
                <w:sz w:val="18"/>
                <w:szCs w:val="18"/>
              </w:rPr>
              <w:t>Percent of Population Attending Round 1</w:t>
            </w:r>
          </w:p>
        </w:tc>
      </w:tr>
      <w:tr w:rsidR="007B0100" w:rsidRPr="007B0100" w:rsidTr="00410C39">
        <w:tc>
          <w:tcPr>
            <w:tcW w:w="1638" w:type="dxa"/>
            <w:vMerge/>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mbria" w:eastAsia="Calibri" w:hAnsi="Cambria" w:cs="Times New Roman"/>
                <w:b/>
                <w:bCs/>
                <w:sz w:val="18"/>
                <w:szCs w:val="18"/>
              </w:rPr>
            </w:pPr>
          </w:p>
        </w:tc>
        <w:tc>
          <w:tcPr>
            <w:tcW w:w="1221" w:type="dxa"/>
            <w:tcBorders>
              <w:top w:val="single" w:sz="4" w:space="0" w:color="365F91"/>
              <w:left w:val="single" w:sz="4" w:space="0" w:color="365F91"/>
              <w:bottom w:val="single" w:sz="4" w:space="0" w:color="365F91"/>
              <w:right w:val="single" w:sz="4" w:space="0" w:color="365F91"/>
            </w:tcBorders>
            <w:shd w:val="clear" w:color="auto" w:fill="4F81BD"/>
            <w:vAlign w:val="center"/>
          </w:tcPr>
          <w:p w:rsidR="007B0100" w:rsidRPr="007B0100" w:rsidRDefault="007B0100" w:rsidP="007B0100">
            <w:pPr>
              <w:spacing w:after="0" w:line="240" w:lineRule="auto"/>
              <w:jc w:val="center"/>
              <w:rPr>
                <w:rFonts w:ascii="Cambria" w:eastAsia="Calibri" w:hAnsi="Cambria" w:cs="Times New Roman"/>
                <w:bCs/>
                <w:color w:val="FFFFFF"/>
                <w:sz w:val="18"/>
                <w:szCs w:val="18"/>
              </w:rPr>
            </w:pPr>
            <w:r w:rsidRPr="007B0100">
              <w:rPr>
                <w:rFonts w:ascii="Cambria" w:eastAsia="Calibri" w:hAnsi="Cambria" w:cs="Times New Roman"/>
                <w:bCs/>
                <w:color w:val="FFFFFF"/>
                <w:sz w:val="18"/>
                <w:szCs w:val="18"/>
              </w:rPr>
              <w:t>Round 1</w:t>
            </w:r>
          </w:p>
        </w:tc>
        <w:tc>
          <w:tcPr>
            <w:tcW w:w="994" w:type="dxa"/>
            <w:tcBorders>
              <w:top w:val="single" w:sz="4" w:space="0" w:color="365F91"/>
              <w:left w:val="single" w:sz="4" w:space="0" w:color="365F91"/>
              <w:bottom w:val="single" w:sz="4" w:space="0" w:color="365F91"/>
              <w:right w:val="single" w:sz="4" w:space="0" w:color="365F91"/>
            </w:tcBorders>
            <w:shd w:val="clear" w:color="auto" w:fill="4F81BD"/>
            <w:vAlign w:val="center"/>
          </w:tcPr>
          <w:p w:rsidR="007B0100" w:rsidRPr="007B0100" w:rsidRDefault="007B0100" w:rsidP="007B0100">
            <w:pPr>
              <w:spacing w:after="0" w:line="240" w:lineRule="auto"/>
              <w:jc w:val="center"/>
              <w:rPr>
                <w:rFonts w:ascii="Cambria" w:eastAsia="Calibri" w:hAnsi="Cambria" w:cs="Times New Roman"/>
                <w:bCs/>
                <w:color w:val="FFFFFF"/>
                <w:sz w:val="18"/>
                <w:szCs w:val="18"/>
              </w:rPr>
            </w:pPr>
            <w:r w:rsidRPr="007B0100">
              <w:rPr>
                <w:rFonts w:ascii="Cambria" w:eastAsia="Calibri" w:hAnsi="Cambria" w:cs="Times New Roman"/>
                <w:bCs/>
                <w:color w:val="FFFFFF"/>
                <w:sz w:val="18"/>
                <w:szCs w:val="18"/>
              </w:rPr>
              <w:t>Round 2</w:t>
            </w:r>
          </w:p>
        </w:tc>
        <w:tc>
          <w:tcPr>
            <w:tcW w:w="900" w:type="dxa"/>
            <w:tcBorders>
              <w:top w:val="single" w:sz="4" w:space="0" w:color="365F91"/>
              <w:left w:val="single" w:sz="4" w:space="0" w:color="365F91"/>
              <w:bottom w:val="single" w:sz="4" w:space="0" w:color="365F91"/>
              <w:right w:val="single" w:sz="4" w:space="0" w:color="365F91"/>
            </w:tcBorders>
            <w:shd w:val="clear" w:color="auto" w:fill="4F81BD"/>
            <w:vAlign w:val="center"/>
          </w:tcPr>
          <w:p w:rsidR="007B0100" w:rsidRPr="007B0100" w:rsidRDefault="007B0100" w:rsidP="007B0100">
            <w:pPr>
              <w:spacing w:after="0" w:line="240" w:lineRule="auto"/>
              <w:jc w:val="center"/>
              <w:rPr>
                <w:rFonts w:ascii="Cambria" w:eastAsia="Calibri" w:hAnsi="Cambria" w:cs="Times New Roman"/>
                <w:bCs/>
                <w:color w:val="FFFFFF"/>
                <w:sz w:val="18"/>
                <w:szCs w:val="18"/>
              </w:rPr>
            </w:pPr>
            <w:r w:rsidRPr="007B0100">
              <w:rPr>
                <w:rFonts w:ascii="Cambria" w:eastAsia="Calibri" w:hAnsi="Cambria" w:cs="Times New Roman"/>
                <w:bCs/>
                <w:color w:val="FFFFFF"/>
                <w:sz w:val="18"/>
                <w:szCs w:val="18"/>
              </w:rPr>
              <w:t>Round 1</w:t>
            </w:r>
          </w:p>
        </w:tc>
        <w:tc>
          <w:tcPr>
            <w:tcW w:w="900" w:type="dxa"/>
            <w:tcBorders>
              <w:top w:val="single" w:sz="4" w:space="0" w:color="365F91"/>
              <w:left w:val="single" w:sz="4" w:space="0" w:color="365F91"/>
              <w:bottom w:val="single" w:sz="4" w:space="0" w:color="365F91"/>
              <w:right w:val="single" w:sz="4" w:space="0" w:color="365F91"/>
            </w:tcBorders>
            <w:shd w:val="clear" w:color="auto" w:fill="4F81BD"/>
            <w:vAlign w:val="center"/>
          </w:tcPr>
          <w:p w:rsidR="007B0100" w:rsidRPr="007B0100" w:rsidRDefault="007B0100" w:rsidP="007B0100">
            <w:pPr>
              <w:spacing w:after="0" w:line="240" w:lineRule="auto"/>
              <w:jc w:val="center"/>
              <w:rPr>
                <w:rFonts w:ascii="Cambria" w:eastAsia="Calibri" w:hAnsi="Cambria" w:cs="Times New Roman"/>
                <w:bCs/>
                <w:color w:val="FFFFFF"/>
                <w:sz w:val="18"/>
                <w:szCs w:val="18"/>
              </w:rPr>
            </w:pPr>
            <w:r w:rsidRPr="007B0100">
              <w:rPr>
                <w:rFonts w:ascii="Cambria" w:eastAsia="Calibri" w:hAnsi="Cambria" w:cs="Times New Roman"/>
                <w:bCs/>
                <w:color w:val="FFFFFF"/>
                <w:sz w:val="18"/>
                <w:szCs w:val="18"/>
              </w:rPr>
              <w:t>Round 2</w:t>
            </w:r>
          </w:p>
        </w:tc>
        <w:tc>
          <w:tcPr>
            <w:tcW w:w="1321" w:type="dxa"/>
            <w:vMerge/>
            <w:tcBorders>
              <w:top w:val="single" w:sz="4" w:space="0" w:color="365F91"/>
              <w:left w:val="single" w:sz="4" w:space="0" w:color="365F91"/>
              <w:bottom w:val="single" w:sz="4" w:space="0" w:color="365F91"/>
              <w:right w:val="single" w:sz="4" w:space="0" w:color="365F91"/>
            </w:tcBorders>
            <w:shd w:val="clear" w:color="auto" w:fill="76923C"/>
          </w:tcPr>
          <w:p w:rsidR="007B0100" w:rsidRPr="007B0100" w:rsidRDefault="007B0100" w:rsidP="007B0100">
            <w:pPr>
              <w:spacing w:after="0" w:line="240" w:lineRule="auto"/>
              <w:ind w:firstLine="360"/>
              <w:jc w:val="center"/>
              <w:rPr>
                <w:rFonts w:ascii="Cambria" w:eastAsia="Calibri" w:hAnsi="Cambria" w:cs="Times New Roman"/>
                <w:bCs/>
                <w:sz w:val="18"/>
                <w:szCs w:val="18"/>
              </w:rPr>
            </w:pPr>
          </w:p>
        </w:tc>
        <w:tc>
          <w:tcPr>
            <w:tcW w:w="1211" w:type="dxa"/>
            <w:vMerge/>
            <w:tcBorders>
              <w:top w:val="single" w:sz="4" w:space="0" w:color="365F91"/>
              <w:left w:val="single" w:sz="4" w:space="0" w:color="365F91"/>
              <w:bottom w:val="single" w:sz="4" w:space="0" w:color="365F91"/>
              <w:right w:val="single" w:sz="4" w:space="0" w:color="365F91"/>
            </w:tcBorders>
            <w:shd w:val="clear" w:color="auto" w:fill="76923C"/>
          </w:tcPr>
          <w:p w:rsidR="007B0100" w:rsidRPr="007B0100" w:rsidRDefault="007B0100" w:rsidP="007B0100">
            <w:pPr>
              <w:spacing w:after="0" w:line="240" w:lineRule="auto"/>
              <w:ind w:firstLine="360"/>
              <w:jc w:val="center"/>
              <w:rPr>
                <w:rFonts w:ascii="Cambria" w:eastAsia="Calibri" w:hAnsi="Cambria" w:cs="Times New Roman"/>
                <w:bCs/>
                <w:sz w:val="18"/>
                <w:szCs w:val="18"/>
              </w:rPr>
            </w:pPr>
          </w:p>
        </w:tc>
        <w:tc>
          <w:tcPr>
            <w:tcW w:w="1211" w:type="dxa"/>
            <w:vMerge/>
            <w:tcBorders>
              <w:top w:val="single" w:sz="4" w:space="0" w:color="365F91"/>
              <w:left w:val="single" w:sz="4" w:space="0" w:color="365F91"/>
              <w:bottom w:val="single" w:sz="4" w:space="0" w:color="365F91"/>
              <w:right w:val="single" w:sz="4" w:space="0" w:color="365F91"/>
            </w:tcBorders>
            <w:shd w:val="clear" w:color="auto" w:fill="76923C"/>
          </w:tcPr>
          <w:p w:rsidR="007B0100" w:rsidRPr="007B0100" w:rsidRDefault="007B0100" w:rsidP="007B0100">
            <w:pPr>
              <w:spacing w:after="0" w:line="240" w:lineRule="auto"/>
              <w:ind w:firstLine="360"/>
              <w:jc w:val="center"/>
              <w:rPr>
                <w:rFonts w:ascii="Cambria" w:eastAsia="Calibri" w:hAnsi="Cambria"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Aleknagik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9/7/2010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4/7/2011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40</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15</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57%</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223</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21%</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Chignik Bay</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9/28/2010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3/29/2011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23</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60%</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62</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46%</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Chignik Lagoon</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9/30/2010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3/31/2011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22</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11</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77%</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73</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34%</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Chignik Lake</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9/29/2010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3/30/2011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10</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60%</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105</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17%</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Clarks Point</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9/9/2010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4/14/2011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29</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83%</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61</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53%</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Dillingham</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11/4/2010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4/11/2011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67</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20</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58%</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2,264</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Egegik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1/12/2011</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5/6/2011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12</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50%</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73</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27%</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Ekuk</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12/6/2010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4/6/2011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13</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33</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33%</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Ekwok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10/29/2010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3/26/2011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42</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20</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90%</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109</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40%</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Igiugig</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12/13/2010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4/26/2011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23</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72%</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64</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44%</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Kokhanok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12/14/2010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4/26/2011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54%</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184</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16%</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Koliganek</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10/28/2010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3/25/2011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30</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50</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30%</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182</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36%</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Levelock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9/8/2010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5/7/2011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47%</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88</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58%</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Manokotak</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12/6/2010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4/13/2011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44</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20</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78%</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438</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18%</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Naknek/King Salmon</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10/11/2010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5/7/2011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28</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67%</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516</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20%</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New Stuyahok</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10/28/2010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3/24/2011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53</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17</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54%</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519</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12%</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Newhalen/Iliamna</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12/16/2010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4/25/2011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57%</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162</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11%</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Nondalton</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12/15/2010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4/25/2011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25</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34</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35%</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186</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25%</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Pedro Bay</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12/14/2010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4/27/2011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17</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75%</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48</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53%</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Perryville</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9/27/2010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3/28/2011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24</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59%</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122</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26%</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Pilot Point</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1/13/2011</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5/5/2011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12</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19</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26%</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66</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39%</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Port Heiden</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10/1/2010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4/1/2011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30</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9</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89%</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83</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37%</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20"/>
                <w:szCs w:val="20"/>
              </w:rPr>
            </w:pPr>
            <w:r w:rsidRPr="007B0100">
              <w:rPr>
                <w:rFonts w:ascii="Calibri" w:eastAsia="Calibri" w:hAnsi="Calibri" w:cs="Times New Roman"/>
                <w:b/>
                <w:bCs/>
                <w:sz w:val="20"/>
                <w:szCs w:val="20"/>
              </w:rPr>
              <w:t>South Naknek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1/10/2011</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5/4/2011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10</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50%</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68</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28%</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20"/>
                <w:szCs w:val="20"/>
              </w:rPr>
            </w:pPr>
            <w:r w:rsidRPr="007B0100">
              <w:rPr>
                <w:rFonts w:ascii="Calibri" w:eastAsia="Calibri" w:hAnsi="Calibri" w:cs="Times New Roman"/>
                <w:b/>
                <w:bCs/>
                <w:sz w:val="20"/>
                <w:szCs w:val="20"/>
              </w:rPr>
              <w:t>Togiak</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11/1/2010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4/12/2011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27</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50%</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820</w:t>
            </w: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14%</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20"/>
                <w:szCs w:val="20"/>
              </w:rPr>
            </w:pPr>
            <w:r w:rsidRPr="007B0100">
              <w:rPr>
                <w:rFonts w:ascii="Calibri" w:eastAsia="Calibri" w:hAnsi="Calibri" w:cs="Times New Roman"/>
                <w:b/>
                <w:bCs/>
                <w:sz w:val="20"/>
                <w:szCs w:val="20"/>
              </w:rPr>
              <w:t>Ugashik</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1/14/2011</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5/6/2011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9</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8</w:t>
            </w: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100%</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15</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60%</w:t>
            </w: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Other:</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mbria" w:eastAsia="Calibri" w:hAnsi="Cambria" w:cs="Times New Roman"/>
                <w:bCs/>
                <w:sz w:val="18"/>
                <w:szCs w:val="18"/>
              </w:rPr>
            </w:pP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mbria" w:eastAsia="Calibri" w:hAnsi="Cambria"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mbria" w:eastAsia="Calibri" w:hAnsi="Cambria"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mbria" w:eastAsia="Calibri" w:hAnsi="Cambria"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mbria" w:eastAsia="Calibri" w:hAnsi="Cambria"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mbria" w:eastAsia="Calibri" w:hAnsi="Cambria"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mbria" w:eastAsia="Calibri" w:hAnsi="Cambria"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Dillingham School</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11/4/2010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71</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Manokotak School</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12/6/2010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Naknek School</w:t>
            </w:r>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10/11/2010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42</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Togiak School</w:t>
            </w:r>
          </w:p>
        </w:tc>
        <w:tc>
          <w:tcPr>
            <w:tcW w:w="12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11/1/2010</w:t>
            </w:r>
          </w:p>
        </w:tc>
        <w:tc>
          <w:tcPr>
            <w:tcW w:w="994"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right"/>
              <w:rPr>
                <w:rFonts w:ascii="Calibri" w:eastAsia="Calibri" w:hAnsi="Calibri"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56</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rPr>
                <w:rFonts w:ascii="Calibri" w:eastAsia="Calibri" w:hAnsi="Calibri" w:cs="Times New Roman"/>
                <w:b/>
                <w:bCs/>
                <w:sz w:val="18"/>
                <w:szCs w:val="18"/>
              </w:rPr>
            </w:pPr>
            <w:r w:rsidRPr="007B0100">
              <w:rPr>
                <w:rFonts w:ascii="Calibri" w:eastAsia="Calibri" w:hAnsi="Calibri" w:cs="Times New Roman"/>
                <w:b/>
                <w:bCs/>
                <w:sz w:val="18"/>
                <w:szCs w:val="18"/>
              </w:rPr>
              <w:t xml:space="preserve">Port </w:t>
            </w:r>
            <w:proofErr w:type="spellStart"/>
            <w:r w:rsidRPr="007B0100">
              <w:rPr>
                <w:rFonts w:ascii="Calibri" w:eastAsia="Calibri" w:hAnsi="Calibri" w:cs="Times New Roman"/>
                <w:b/>
                <w:bCs/>
                <w:sz w:val="18"/>
                <w:szCs w:val="18"/>
              </w:rPr>
              <w:t>Alsworth</w:t>
            </w:r>
            <w:proofErr w:type="spellEnd"/>
          </w:p>
        </w:tc>
        <w:tc>
          <w:tcPr>
            <w:tcW w:w="12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12/15/2010</w:t>
            </w:r>
          </w:p>
        </w:tc>
        <w:tc>
          <w:tcPr>
            <w:tcW w:w="994"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7</w:t>
            </w:r>
          </w:p>
        </w:tc>
        <w:tc>
          <w:tcPr>
            <w:tcW w:w="900"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118</w:t>
            </w:r>
          </w:p>
        </w:tc>
        <w:tc>
          <w:tcPr>
            <w:tcW w:w="121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18"/>
                <w:szCs w:val="18"/>
              </w:rPr>
            </w:pPr>
            <w:r w:rsidRPr="007B0100">
              <w:rPr>
                <w:rFonts w:ascii="Calibri" w:eastAsia="Calibri" w:hAnsi="Calibri" w:cs="Times New Roman"/>
                <w:bCs/>
                <w:sz w:val="18"/>
                <w:szCs w:val="18"/>
              </w:rPr>
              <w:t>6%</w:t>
            </w:r>
          </w:p>
        </w:tc>
      </w:tr>
      <w:tr w:rsidR="007B0100" w:rsidRPr="007B0100" w:rsidTr="00410C39">
        <w:tc>
          <w:tcPr>
            <w:tcW w:w="3853" w:type="dxa"/>
            <w:gridSpan w:val="3"/>
            <w:tcBorders>
              <w:top w:val="single" w:sz="4" w:space="0" w:color="365F91"/>
              <w:left w:val="single" w:sz="4" w:space="0" w:color="365F91"/>
              <w:bottom w:val="single" w:sz="4" w:space="0" w:color="365F91"/>
              <w:right w:val="single" w:sz="4" w:space="0" w:color="365F91"/>
            </w:tcBorders>
            <w:shd w:val="clear" w:color="auto" w:fill="DEE4D7"/>
          </w:tcPr>
          <w:p w:rsidR="007B0100" w:rsidRPr="007B0100" w:rsidRDefault="007B0100" w:rsidP="007B0100">
            <w:pPr>
              <w:spacing w:after="0" w:line="240" w:lineRule="auto"/>
              <w:ind w:hanging="18"/>
              <w:rPr>
                <w:rFonts w:ascii="Calibri" w:eastAsia="Calibri" w:hAnsi="Calibri" w:cs="Times New Roman"/>
                <w:b/>
                <w:bCs/>
                <w:sz w:val="20"/>
                <w:szCs w:val="20"/>
              </w:rPr>
            </w:pPr>
            <w:r w:rsidRPr="007B0100">
              <w:rPr>
                <w:rFonts w:ascii="Calibri" w:eastAsia="Calibri" w:hAnsi="Calibri" w:cs="Times New Roman"/>
                <w:b/>
                <w:bCs/>
                <w:sz w:val="20"/>
                <w:szCs w:val="20"/>
              </w:rPr>
              <w:t>Community Meeting Attendance Total</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
                <w:bCs/>
                <w:sz w:val="20"/>
                <w:szCs w:val="20"/>
              </w:rPr>
            </w:pPr>
            <w:r w:rsidRPr="007B0100">
              <w:rPr>
                <w:rFonts w:ascii="Calibri" w:eastAsia="Calibri" w:hAnsi="Calibri" w:cs="Times New Roman"/>
                <w:b/>
                <w:bCs/>
                <w:sz w:val="20"/>
                <w:szCs w:val="20"/>
              </w:rPr>
              <w:t>931</w:t>
            </w:r>
          </w:p>
        </w:tc>
        <w:tc>
          <w:tcPr>
            <w:tcW w:w="900"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
                <w:bCs/>
                <w:sz w:val="20"/>
                <w:szCs w:val="20"/>
              </w:rPr>
            </w:pPr>
            <w:r w:rsidRPr="007B0100">
              <w:rPr>
                <w:rFonts w:ascii="Calibri" w:eastAsia="Calibri" w:hAnsi="Calibri" w:cs="Times New Roman"/>
                <w:b/>
                <w:bCs/>
                <w:sz w:val="20"/>
                <w:szCs w:val="20"/>
              </w:rPr>
              <w:t>455</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
                <w:bCs/>
                <w:sz w:val="20"/>
                <w:szCs w:val="20"/>
              </w:rPr>
            </w:pPr>
            <w:r w:rsidRPr="007B0100">
              <w:rPr>
                <w:rFonts w:ascii="Calibri" w:eastAsia="Calibri" w:hAnsi="Calibri" w:cs="Times New Roman"/>
                <w:b/>
                <w:bCs/>
                <w:sz w:val="20"/>
                <w:szCs w:val="20"/>
              </w:rPr>
              <w:t>1386</w:t>
            </w:r>
          </w:p>
        </w:tc>
        <w:tc>
          <w:tcPr>
            <w:tcW w:w="2422" w:type="dxa"/>
            <w:gridSpan w:val="2"/>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hanging="18"/>
              <w:jc w:val="center"/>
              <w:rPr>
                <w:rFonts w:ascii="Calibri" w:eastAsia="Calibri" w:hAnsi="Calibri" w:cs="Times New Roman"/>
                <w:bCs/>
                <w:sz w:val="20"/>
                <w:szCs w:val="20"/>
              </w:rPr>
            </w:pPr>
          </w:p>
        </w:tc>
      </w:tr>
      <w:tr w:rsidR="007B0100" w:rsidRPr="007B0100" w:rsidTr="00410C39">
        <w:tc>
          <w:tcPr>
            <w:tcW w:w="1638"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rPr>
                <w:rFonts w:ascii="Calibri" w:eastAsia="Calibri" w:hAnsi="Calibri" w:cs="Times New Roman"/>
                <w:b/>
                <w:bCs/>
                <w:sz w:val="20"/>
                <w:szCs w:val="20"/>
              </w:rPr>
            </w:pPr>
            <w:r w:rsidRPr="007B0100">
              <w:rPr>
                <w:rFonts w:ascii="Calibri" w:eastAsia="Calibri" w:hAnsi="Calibri" w:cs="Times New Roman"/>
                <w:b/>
                <w:bCs/>
                <w:sz w:val="20"/>
                <w:szCs w:val="20"/>
              </w:rPr>
              <w:t>Vision Summit</w:t>
            </w:r>
          </w:p>
        </w:tc>
        <w:tc>
          <w:tcPr>
            <w:tcW w:w="1221" w:type="dxa"/>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ind w:hanging="18"/>
              <w:jc w:val="right"/>
              <w:rPr>
                <w:rFonts w:ascii="Calibri" w:eastAsia="Calibri" w:hAnsi="Calibri" w:cs="Times New Roman"/>
                <w:bCs/>
                <w:sz w:val="18"/>
                <w:szCs w:val="18"/>
              </w:rPr>
            </w:pPr>
            <w:r w:rsidRPr="007B0100">
              <w:rPr>
                <w:rFonts w:ascii="Calibri" w:eastAsia="Calibri" w:hAnsi="Calibri" w:cs="Times New Roman"/>
                <w:bCs/>
                <w:sz w:val="18"/>
                <w:szCs w:val="18"/>
              </w:rPr>
              <w:t>11/3-4/2011</w:t>
            </w:r>
          </w:p>
        </w:tc>
        <w:tc>
          <w:tcPr>
            <w:tcW w:w="2794" w:type="dxa"/>
            <w:gridSpan w:val="3"/>
            <w:tcBorders>
              <w:top w:val="single" w:sz="4" w:space="0" w:color="365F91"/>
              <w:left w:val="single" w:sz="4" w:space="0" w:color="365F91"/>
              <w:bottom w:val="single" w:sz="4" w:space="0" w:color="365F91"/>
              <w:right w:val="single" w:sz="4" w:space="0" w:color="365F91"/>
            </w:tcBorders>
            <w:shd w:val="clear" w:color="auto" w:fill="auto"/>
          </w:tcPr>
          <w:p w:rsidR="007B0100" w:rsidRPr="007B0100" w:rsidRDefault="007B0100" w:rsidP="007B0100">
            <w:pPr>
              <w:spacing w:after="0" w:line="240" w:lineRule="auto"/>
              <w:ind w:hanging="18"/>
              <w:jc w:val="center"/>
              <w:rPr>
                <w:rFonts w:ascii="Calibri" w:eastAsia="Calibri" w:hAnsi="Calibri" w:cs="Times New Roman"/>
                <w:bCs/>
                <w:sz w:val="20"/>
                <w:szCs w:val="20"/>
              </w:rPr>
            </w:pPr>
          </w:p>
        </w:tc>
        <w:tc>
          <w:tcPr>
            <w:tcW w:w="1321" w:type="dxa"/>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20"/>
                <w:szCs w:val="20"/>
              </w:rPr>
            </w:pPr>
            <w:r w:rsidRPr="007B0100">
              <w:rPr>
                <w:rFonts w:ascii="Calibri" w:eastAsia="Calibri" w:hAnsi="Calibri" w:cs="Times New Roman"/>
                <w:bCs/>
                <w:sz w:val="20"/>
                <w:szCs w:val="20"/>
              </w:rPr>
              <w:t>150+</w:t>
            </w:r>
          </w:p>
        </w:tc>
        <w:tc>
          <w:tcPr>
            <w:tcW w:w="2422" w:type="dxa"/>
            <w:gridSpan w:val="2"/>
            <w:tcBorders>
              <w:top w:val="single" w:sz="4" w:space="0" w:color="365F91"/>
              <w:left w:val="single" w:sz="4" w:space="0" w:color="365F91"/>
              <w:bottom w:val="single" w:sz="4" w:space="0" w:color="365F91"/>
              <w:right w:val="single" w:sz="4" w:space="0" w:color="365F91"/>
            </w:tcBorders>
            <w:shd w:val="clear" w:color="auto" w:fill="auto"/>
            <w:vAlign w:val="center"/>
          </w:tcPr>
          <w:p w:rsidR="007B0100" w:rsidRPr="007B0100" w:rsidRDefault="007B0100" w:rsidP="007B0100">
            <w:pPr>
              <w:spacing w:after="0" w:line="240" w:lineRule="auto"/>
              <w:ind w:hanging="18"/>
              <w:jc w:val="center"/>
              <w:rPr>
                <w:rFonts w:ascii="Calibri" w:eastAsia="Calibri" w:hAnsi="Calibri" w:cs="Times New Roman"/>
                <w:bCs/>
                <w:sz w:val="20"/>
                <w:szCs w:val="20"/>
              </w:rPr>
            </w:pPr>
          </w:p>
        </w:tc>
      </w:tr>
      <w:tr w:rsidR="007B0100" w:rsidRPr="007B0100" w:rsidTr="00410C39">
        <w:tc>
          <w:tcPr>
            <w:tcW w:w="5653" w:type="dxa"/>
            <w:gridSpan w:val="5"/>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rPr>
                <w:rFonts w:ascii="Calibri" w:eastAsia="Calibri" w:hAnsi="Calibri" w:cs="Times New Roman"/>
                <w:b/>
                <w:bCs/>
                <w:sz w:val="20"/>
                <w:szCs w:val="20"/>
              </w:rPr>
            </w:pPr>
            <w:r w:rsidRPr="007B0100">
              <w:rPr>
                <w:rFonts w:ascii="Calibri" w:eastAsia="Calibri" w:hAnsi="Calibri" w:cs="Times New Roman"/>
                <w:b/>
                <w:bCs/>
                <w:sz w:val="20"/>
                <w:szCs w:val="20"/>
              </w:rPr>
              <w:t>Total Participation</w:t>
            </w:r>
          </w:p>
        </w:tc>
        <w:tc>
          <w:tcPr>
            <w:tcW w:w="1321" w:type="dxa"/>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firstLine="360"/>
              <w:rPr>
                <w:rFonts w:ascii="Calibri" w:eastAsia="Calibri" w:hAnsi="Calibri" w:cs="Times New Roman"/>
                <w:b/>
                <w:bCs/>
                <w:sz w:val="20"/>
                <w:szCs w:val="20"/>
              </w:rPr>
            </w:pPr>
            <w:r w:rsidRPr="007B0100">
              <w:rPr>
                <w:rFonts w:ascii="Calibri" w:eastAsia="Calibri" w:hAnsi="Calibri" w:cs="Times New Roman"/>
                <w:b/>
                <w:bCs/>
                <w:sz w:val="20"/>
                <w:szCs w:val="20"/>
              </w:rPr>
              <w:t>1536+</w:t>
            </w:r>
          </w:p>
        </w:tc>
        <w:tc>
          <w:tcPr>
            <w:tcW w:w="2422" w:type="dxa"/>
            <w:gridSpan w:val="2"/>
            <w:tcBorders>
              <w:top w:val="single" w:sz="4" w:space="0" w:color="365F91"/>
              <w:left w:val="single" w:sz="4" w:space="0" w:color="365F91"/>
              <w:bottom w:val="single" w:sz="4" w:space="0" w:color="365F91"/>
              <w:right w:val="single" w:sz="4" w:space="0" w:color="365F91"/>
            </w:tcBorders>
            <w:shd w:val="clear" w:color="auto" w:fill="DEE4D7"/>
            <w:vAlign w:val="center"/>
          </w:tcPr>
          <w:p w:rsidR="007B0100" w:rsidRPr="007B0100" w:rsidRDefault="007B0100" w:rsidP="007B0100">
            <w:pPr>
              <w:spacing w:after="0" w:line="240" w:lineRule="auto"/>
              <w:ind w:firstLine="360"/>
              <w:jc w:val="center"/>
              <w:rPr>
                <w:rFonts w:ascii="Calibri" w:eastAsia="Calibri" w:hAnsi="Calibri" w:cs="Times New Roman"/>
                <w:bCs/>
                <w:sz w:val="20"/>
                <w:szCs w:val="20"/>
              </w:rPr>
            </w:pPr>
          </w:p>
        </w:tc>
      </w:tr>
      <w:tr w:rsidR="007B0100" w:rsidRPr="007B0100" w:rsidTr="00410C39">
        <w:tc>
          <w:tcPr>
            <w:tcW w:w="9396" w:type="dxa"/>
            <w:gridSpan w:val="8"/>
            <w:tcBorders>
              <w:top w:val="single" w:sz="4" w:space="0" w:color="365F91"/>
            </w:tcBorders>
            <w:shd w:val="clear" w:color="auto" w:fill="632423"/>
            <w:vAlign w:val="center"/>
          </w:tcPr>
          <w:p w:rsidR="007B0100" w:rsidRPr="007B0100" w:rsidRDefault="007B0100" w:rsidP="007B0100">
            <w:pPr>
              <w:spacing w:after="0" w:line="240" w:lineRule="auto"/>
              <w:rPr>
                <w:rFonts w:ascii="Calibri" w:eastAsia="Calibri" w:hAnsi="Calibri" w:cs="Times New Roman"/>
                <w:b/>
                <w:bCs/>
                <w:color w:val="FFFFFF"/>
                <w:sz w:val="20"/>
                <w:szCs w:val="20"/>
              </w:rPr>
            </w:pPr>
            <w:r w:rsidRPr="007B0100">
              <w:rPr>
                <w:rFonts w:ascii="Calibri" w:eastAsia="Calibri" w:hAnsi="Calibri" w:cs="Times New Roman"/>
                <w:b/>
                <w:bCs/>
                <w:color w:val="FFFFFF"/>
                <w:sz w:val="20"/>
                <w:szCs w:val="20"/>
              </w:rPr>
              <w:t>Iliamna – Invited to Newhalen Meeting                   Portage Creek – Elected to do printed questionnaire</w:t>
            </w:r>
          </w:p>
          <w:p w:rsidR="007B0100" w:rsidRPr="007B0100" w:rsidRDefault="007B0100" w:rsidP="007B0100">
            <w:pPr>
              <w:spacing w:after="0" w:line="240" w:lineRule="auto"/>
              <w:rPr>
                <w:rFonts w:ascii="Cambria" w:eastAsia="Calibri" w:hAnsi="Cambria" w:cs="Times New Roman"/>
                <w:b/>
                <w:bCs/>
                <w:sz w:val="20"/>
                <w:szCs w:val="20"/>
              </w:rPr>
            </w:pPr>
            <w:r w:rsidRPr="007B0100">
              <w:rPr>
                <w:rFonts w:ascii="Calibri" w:eastAsia="Calibri" w:hAnsi="Calibri" w:cs="Times New Roman"/>
                <w:b/>
                <w:bCs/>
                <w:color w:val="FFFFFF"/>
                <w:sz w:val="20"/>
                <w:szCs w:val="20"/>
              </w:rPr>
              <w:t>King Salmon – Invited to Naknek Meeting               Twin Hills – Elected to do printed questionnaire</w:t>
            </w:r>
          </w:p>
        </w:tc>
      </w:tr>
      <w:tr w:rsidR="007B0100" w:rsidRPr="007B0100" w:rsidTr="00410C39">
        <w:tc>
          <w:tcPr>
            <w:tcW w:w="9396" w:type="dxa"/>
            <w:gridSpan w:val="8"/>
            <w:shd w:val="clear" w:color="auto" w:fill="632423"/>
            <w:vAlign w:val="center"/>
          </w:tcPr>
          <w:p w:rsidR="007B0100" w:rsidRPr="007B0100" w:rsidRDefault="007B0100" w:rsidP="007B0100">
            <w:pPr>
              <w:spacing w:after="0" w:line="240" w:lineRule="auto"/>
              <w:rPr>
                <w:rFonts w:ascii="Calibri" w:eastAsia="Calibri" w:hAnsi="Calibri" w:cs="Times New Roman"/>
                <w:b/>
                <w:bCs/>
                <w:color w:val="FFFFFF"/>
                <w:sz w:val="18"/>
                <w:szCs w:val="18"/>
              </w:rPr>
            </w:pPr>
            <w:r w:rsidRPr="007B0100">
              <w:rPr>
                <w:rFonts w:ascii="Calibri" w:eastAsia="Calibri" w:hAnsi="Calibri" w:cs="Times New Roman"/>
                <w:b/>
                <w:bCs/>
                <w:color w:val="FFFFFF"/>
                <w:sz w:val="18"/>
                <w:szCs w:val="18"/>
              </w:rPr>
              <w:t>1) Based on unduplicated total for both rounds of community meetings.</w:t>
            </w:r>
          </w:p>
        </w:tc>
      </w:tr>
    </w:tbl>
    <w:p w:rsidR="007B0100" w:rsidRPr="007B0100" w:rsidRDefault="007B0100" w:rsidP="007B0100">
      <w:pPr>
        <w:spacing w:after="0" w:line="240" w:lineRule="auto"/>
        <w:rPr>
          <w:rFonts w:ascii="Calibri" w:eastAsia="MS Mincho" w:hAnsi="Calibri" w:cs="Times New Roman"/>
          <w:bCs/>
        </w:rPr>
      </w:pPr>
    </w:p>
    <w:p w:rsidR="007B0100" w:rsidRPr="007B0100" w:rsidRDefault="007B0100" w:rsidP="007B0100">
      <w:pPr>
        <w:spacing w:after="0" w:line="240" w:lineRule="auto"/>
        <w:rPr>
          <w:rFonts w:ascii="Calibri" w:eastAsia="MS Mincho" w:hAnsi="Calibri" w:cs="Times New Roman"/>
          <w:bCs/>
        </w:rPr>
      </w:pPr>
      <w:r w:rsidRPr="007B0100">
        <w:rPr>
          <w:rFonts w:ascii="Calibri" w:eastAsia="MS Mincho" w:hAnsi="Calibri" w:cs="Times New Roman"/>
          <w:bCs/>
        </w:rPr>
        <w:br w:type="page"/>
      </w:r>
    </w:p>
    <w:p w:rsidR="007B0100" w:rsidRPr="007B0100" w:rsidRDefault="007B0100" w:rsidP="007B0100">
      <w:pPr>
        <w:spacing w:after="0" w:line="240" w:lineRule="auto"/>
        <w:rPr>
          <w:rFonts w:ascii="Calibri" w:eastAsia="MS Mincho" w:hAnsi="Calibri" w:cs="Times New Roman"/>
          <w:bCs/>
        </w:rPr>
      </w:pPr>
      <w:r w:rsidRPr="007B0100">
        <w:rPr>
          <w:rFonts w:ascii="Calibri" w:eastAsia="MS Mincho" w:hAnsi="Calibri" w:cs="Times New Roman"/>
          <w:bCs/>
          <w:noProof/>
        </w:rPr>
        <w:lastRenderedPageBreak/>
        <mc:AlternateContent>
          <mc:Choice Requires="wps">
            <w:drawing>
              <wp:anchor distT="0" distB="0" distL="114300" distR="114300" simplePos="0" relativeHeight="251659264" behindDoc="0" locked="0" layoutInCell="1" allowOverlap="1" wp14:anchorId="61E7E57D" wp14:editId="185BE13A">
                <wp:simplePos x="0" y="0"/>
                <wp:positionH relativeFrom="column">
                  <wp:posOffset>-373075</wp:posOffset>
                </wp:positionH>
                <wp:positionV relativeFrom="paragraph">
                  <wp:posOffset>102413</wp:posOffset>
                </wp:positionV>
                <wp:extent cx="6655435" cy="8039100"/>
                <wp:effectExtent l="0" t="0" r="12065" b="19050"/>
                <wp:wrapNone/>
                <wp:docPr id="4" name="Vertical Scrol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5435" cy="8039100"/>
                        </a:xfrm>
                        <a:prstGeom prst="verticalScroll">
                          <a:avLst>
                            <a:gd name="adj" fmla="val 6338"/>
                          </a:avLst>
                        </a:prstGeom>
                        <a:solidFill>
                          <a:srgbClr val="EAF1DD"/>
                        </a:solidFill>
                        <a:ln w="25400" algn="ctr">
                          <a:solidFill>
                            <a:srgbClr val="596A47"/>
                          </a:solidFill>
                          <a:round/>
                          <a:headEnd/>
                          <a:tailEnd/>
                        </a:ln>
                      </wps:spPr>
                      <wps:txbx>
                        <w:txbxContent>
                          <w:p w:rsidR="007B0100" w:rsidRDefault="007B0100" w:rsidP="007B0100">
                            <w:pPr>
                              <w:jc w:val="center"/>
                            </w:pPr>
                          </w:p>
                        </w:txbxContent>
                      </wps:txbx>
                      <wps:bodyPr rot="0" vert="horz" wrap="square" lIns="91440" tIns="45720" rIns="91440" bIns="45720" anchor="ctr" anchorCtr="0" upright="1">
                        <a:noAutofit/>
                      </wps:bodyPr>
                    </wps:wsp>
                  </a:graphicData>
                </a:graphic>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4" o:spid="_x0000_s1026" type="#_x0000_t97" style="position:absolute;margin-left:-29.4pt;margin-top:8.05pt;width:524.05pt;height:6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" adj="1369" fillcolor="#eaf1dd" strokecolor="#596a47" strokeweight="2pt">
                <v:textbox>
                  <w:txbxContent>
                    <w:p w:rsidR="007B0100" w:rsidRDefault="007B0100" w:rsidP="007B0100">
                      <w:pPr>
                        <w:jc w:val="center"/>
                      </w:pPr>
                    </w:p>
                  </w:txbxContent>
                </v:textbox>
              </v:shape>
            </w:pict>
          </mc:Fallback>
        </mc:AlternateContent>
      </w:r>
    </w:p>
    <w:p w:rsidR="007B0100" w:rsidRPr="007B0100" w:rsidRDefault="00B62DCC" w:rsidP="007B0100">
      <w:pPr>
        <w:spacing w:after="0" w:line="240" w:lineRule="auto"/>
        <w:ind w:right="-360"/>
        <w:rPr>
          <w:rFonts w:ascii="Times New Roman" w:eastAsia="Times" w:hAnsi="Times New Roman" w:cs="Times New Roman"/>
          <w:sz w:val="24"/>
          <w:szCs w:val="24"/>
        </w:rPr>
      </w:pPr>
      <w:r w:rsidRPr="007B0100">
        <w:rPr>
          <w:rFonts w:ascii="Calibri" w:eastAsia="MS Mincho" w:hAnsi="Calibri" w:cs="Times New Roman"/>
          <w:bCs/>
          <w:noProof/>
        </w:rPr>
        <mc:AlternateContent>
          <mc:Choice Requires="wps">
            <w:drawing>
              <wp:anchor distT="0" distB="0" distL="114300" distR="114300" simplePos="0" relativeHeight="251660288" behindDoc="0" locked="0" layoutInCell="1" allowOverlap="1" wp14:anchorId="75C25C46" wp14:editId="3C5ACF42">
                <wp:simplePos x="0" y="0"/>
                <wp:positionH relativeFrom="column">
                  <wp:posOffset>261620</wp:posOffset>
                </wp:positionH>
                <wp:positionV relativeFrom="paragraph">
                  <wp:posOffset>509905</wp:posOffset>
                </wp:positionV>
                <wp:extent cx="5453380" cy="73806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3380" cy="7380605"/>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0100" w:rsidRPr="008544C7" w:rsidRDefault="007B0100" w:rsidP="007B0100">
                            <w:pPr>
                              <w:tabs>
                                <w:tab w:val="left" w:pos="1080"/>
                                <w:tab w:val="left" w:pos="10350"/>
                              </w:tabs>
                              <w:spacing w:line="360" w:lineRule="auto"/>
                              <w:ind w:left="1080" w:hanging="360"/>
                              <w:jc w:val="center"/>
                              <w:rPr>
                                <w:rFonts w:ascii="Cambria" w:eastAsia="MS Mincho" w:hAnsi="Cambria"/>
                                <w:b/>
                                <w:color w:val="3E4931"/>
                                <w:sz w:val="32"/>
                                <w:szCs w:val="32"/>
                              </w:rPr>
                            </w:pPr>
                            <w:r w:rsidRPr="008544C7">
                              <w:rPr>
                                <w:rFonts w:ascii="Cambria" w:eastAsia="MS Mincho" w:hAnsi="Cambria"/>
                                <w:b/>
                                <w:color w:val="3E4931"/>
                                <w:sz w:val="32"/>
                                <w:szCs w:val="32"/>
                              </w:rPr>
                              <w:t>Bristol Bay Regional Vision Statement</w:t>
                            </w:r>
                          </w:p>
                          <w:p w:rsidR="007B0100" w:rsidRPr="008544C7" w:rsidRDefault="007B0100" w:rsidP="007B0100">
                            <w:pPr>
                              <w:tabs>
                                <w:tab w:val="left" w:pos="1080"/>
                              </w:tabs>
                              <w:spacing w:line="270" w:lineRule="atLeast"/>
                              <w:ind w:left="1080" w:right="360" w:hanging="360"/>
                              <w:textAlignment w:val="baseline"/>
                              <w:rPr>
                                <w:rFonts w:ascii="Calibri" w:hAnsi="Calibri"/>
                                <w:b/>
                                <w:bCs/>
                                <w:color w:val="444444"/>
                                <w:bdr w:val="none" w:sz="0" w:space="0" w:color="auto" w:frame="1"/>
                              </w:rPr>
                            </w:pP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The foundation</w:t>
                            </w:r>
                            <w:r w:rsidRPr="008544C7">
                              <w:rPr>
                                <w:rFonts w:ascii="Calibri" w:eastAsia="MS Gothic" w:hAnsi="Calibri"/>
                                <w:color w:val="3E4931"/>
                                <w:sz w:val="26"/>
                                <w:szCs w:val="26"/>
                              </w:rPr>
                              <w:t xml:space="preserve"> </w:t>
                            </w:r>
                            <w:r w:rsidRPr="008544C7">
                              <w:rPr>
                                <w:rFonts w:ascii="Calibri" w:hAnsi="Calibri"/>
                                <w:color w:val="3E4931"/>
                                <w:sz w:val="26"/>
                                <w:szCs w:val="26"/>
                              </w:rPr>
                              <w:t>of the Bristol Bay Region is committed families, connected to our land and waters.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believe</w:t>
                            </w:r>
                            <w:r w:rsidRPr="008544C7">
                              <w:rPr>
                                <w:rFonts w:ascii="Calibri" w:eastAsia="MS Gothic" w:hAnsi="Calibri"/>
                                <w:color w:val="3E4931"/>
                                <w:sz w:val="26"/>
                                <w:szCs w:val="26"/>
                              </w:rPr>
                              <w:t xml:space="preserve"> </w:t>
                            </w:r>
                            <w:r w:rsidRPr="008544C7">
                              <w:rPr>
                                <w:rFonts w:ascii="Calibri" w:hAnsi="Calibri"/>
                                <w:color w:val="3E4931"/>
                                <w:sz w:val="26"/>
                                <w:szCs w:val="26"/>
                              </w:rPr>
                              <w:t>future generations can live healthy and productive lives here.  Across our region, we share common values of community, culture, and subsistence.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see</w:t>
                            </w:r>
                            <w:r w:rsidRPr="008544C7">
                              <w:rPr>
                                <w:rFonts w:ascii="Calibri" w:eastAsia="MS Gothic" w:hAnsi="Calibri"/>
                                <w:color w:val="3E4931"/>
                                <w:sz w:val="26"/>
                                <w:szCs w:val="26"/>
                              </w:rPr>
                              <w:t xml:space="preserve"> </w:t>
                            </w:r>
                            <w:r w:rsidRPr="008544C7">
                              <w:rPr>
                                <w:rFonts w:ascii="Calibri" w:hAnsi="Calibri"/>
                                <w:color w:val="3E4931"/>
                                <w:sz w:val="26"/>
                                <w:szCs w:val="26"/>
                              </w:rPr>
                              <w:t>a future of educated, creative people who are well prepared for life. This requires: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Excellent schools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Safe and healthy families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Local jobs</w:t>
                            </w:r>
                          </w:p>
                          <w:p w:rsidR="007B0100" w:rsidRPr="008544C7" w:rsidRDefault="007B0100" w:rsidP="007B0100">
                            <w:pPr>
                              <w:numPr>
                                <w:ilvl w:val="0"/>
                                <w:numId w:val="1"/>
                              </w:numPr>
                              <w:tabs>
                                <w:tab w:val="num" w:pos="1440"/>
                              </w:tabs>
                              <w:spacing w:after="12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Understanding our cultural values and traditions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assert</w:t>
                            </w:r>
                            <w:r w:rsidRPr="008544C7">
                              <w:rPr>
                                <w:rFonts w:ascii="Calibri" w:eastAsia="MS Gothic" w:hAnsi="Calibri"/>
                                <w:color w:val="3E4931"/>
                                <w:sz w:val="26"/>
                                <w:szCs w:val="26"/>
                              </w:rPr>
                              <w:t xml:space="preserve"> </w:t>
                            </w:r>
                            <w:r w:rsidRPr="008544C7">
                              <w:rPr>
                                <w:rFonts w:ascii="Calibri" w:hAnsi="Calibri"/>
                                <w:color w:val="3E4931"/>
                                <w:sz w:val="26"/>
                                <w:szCs w:val="26"/>
                              </w:rPr>
                              <w:t>the importance of local voices in managing our natural resources to continue our way of life.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welcome</w:t>
                            </w:r>
                            <w:r w:rsidRPr="008544C7">
                              <w:rPr>
                                <w:rFonts w:ascii="Calibri" w:eastAsia="MS Gothic" w:hAnsi="Calibri"/>
                                <w:color w:val="3E4931"/>
                                <w:sz w:val="26"/>
                                <w:szCs w:val="26"/>
                              </w:rPr>
                              <w:t xml:space="preserve"> </w:t>
                            </w:r>
                            <w:r w:rsidRPr="008544C7">
                              <w:rPr>
                                <w:rFonts w:ascii="Calibri" w:hAnsi="Calibri"/>
                                <w:color w:val="3E4931"/>
                                <w:sz w:val="26"/>
                                <w:szCs w:val="26"/>
                              </w:rPr>
                              <w:t>sustainable economic development that advances the values of Bristol Bay people. Our future includes diverse economic opportunities in businesses and industries based largely on renewable resources. Large development based on renewable and non-renewable resources must not threaten our land, our waters, or our way of life.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foster</w:t>
                            </w:r>
                            <w:r w:rsidRPr="008544C7">
                              <w:rPr>
                                <w:rFonts w:ascii="Calibri" w:eastAsia="MS Gothic" w:hAnsi="Calibri"/>
                                <w:color w:val="3E4931"/>
                                <w:sz w:val="26"/>
                                <w:szCs w:val="26"/>
                              </w:rPr>
                              <w:t xml:space="preserve"> </w:t>
                            </w:r>
                            <w:r w:rsidRPr="008544C7">
                              <w:rPr>
                                <w:rFonts w:ascii="Calibri" w:hAnsi="Calibri"/>
                                <w:color w:val="3E4931"/>
                                <w:sz w:val="26"/>
                                <w:szCs w:val="26"/>
                              </w:rPr>
                              <w:t>cooperation among local and regional entities to coordinate infrastructure planning for stronger, more affordable communities. Investments in energy, housing and transportation promote sustainable communities and spur economic development.</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recognize</w:t>
                            </w:r>
                            <w:r w:rsidRPr="008544C7">
                              <w:rPr>
                                <w:rFonts w:ascii="Calibri" w:eastAsia="MS Gothic" w:hAnsi="Calibri"/>
                                <w:color w:val="3E4931"/>
                                <w:sz w:val="26"/>
                                <w:szCs w:val="26"/>
                              </w:rPr>
                              <w:t xml:space="preserve"> </w:t>
                            </w:r>
                            <w:r w:rsidRPr="008544C7">
                              <w:rPr>
                                <w:rFonts w:ascii="Calibri" w:hAnsi="Calibri"/>
                                <w:color w:val="3E4931"/>
                                <w:sz w:val="26"/>
                                <w:szCs w:val="26"/>
                              </w:rPr>
                              <w:t>the need to locate new sources of capital to implement this vision with a goal of generating self-sustaining regional economies.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are unified</w:t>
                            </w:r>
                            <w:r w:rsidRPr="008544C7">
                              <w:rPr>
                                <w:rFonts w:ascii="Calibri" w:eastAsia="MS Gothic" w:hAnsi="Calibri"/>
                                <w:color w:val="3E4931"/>
                                <w:sz w:val="26"/>
                                <w:szCs w:val="26"/>
                              </w:rPr>
                              <w:t xml:space="preserve"> </w:t>
                            </w:r>
                            <w:r w:rsidRPr="008544C7">
                              <w:rPr>
                                <w:rFonts w:ascii="Calibri" w:hAnsi="Calibri"/>
                                <w:color w:val="3E4931"/>
                                <w:sz w:val="26"/>
                                <w:szCs w:val="26"/>
                              </w:rPr>
                              <w:t>to secure a prosperous future.</w:t>
                            </w:r>
                          </w:p>
                          <w:p w:rsidR="007B0100" w:rsidRPr="008544C7" w:rsidRDefault="007B0100" w:rsidP="007B0100">
                            <w:pPr>
                              <w:tabs>
                                <w:tab w:val="left" w:pos="1080"/>
                              </w:tabs>
                              <w:ind w:left="1080" w:hanging="360"/>
                              <w:jc w:val="right"/>
                              <w:rPr>
                                <w:rFonts w:ascii="Calibri" w:eastAsia="MS Mincho" w:hAnsi="Calibri"/>
                                <w:color w:val="3E4931"/>
                              </w:rPr>
                            </w:pPr>
                            <w:r>
                              <w:rPr>
                                <w:rFonts w:ascii="Calibri" w:eastAsia="MS Mincho" w:hAnsi="Calibri"/>
                                <w:noProof/>
                                <w:color w:val="3E4931"/>
                              </w:rPr>
                              <w:t>BBRV Commissioners,</w:t>
                            </w:r>
                            <w:r w:rsidRPr="008544C7">
                              <w:rPr>
                                <w:rFonts w:ascii="Calibri" w:eastAsia="MS Mincho" w:hAnsi="Calibri"/>
                                <w:color w:val="3E4931"/>
                              </w:rPr>
                              <w:t xml:space="preserve"> February 2011</w:t>
                            </w:r>
                          </w:p>
                          <w:p w:rsidR="007B0100" w:rsidRDefault="007B0100" w:rsidP="007B0100"/>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0.6pt;margin-top:40.15pt;width:429.4pt;height:581.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" fillcolor="#eaf1dd" stroked="f">
                <v:textbox>
                  <w:txbxContent>
                    <w:p w:rsidR="007B0100" w:rsidRPr="008544C7" w:rsidRDefault="007B0100" w:rsidP="007B0100">
                      <w:pPr>
                        <w:tabs>
                          <w:tab w:val="left" w:pos="1080"/>
                          <w:tab w:val="left" w:pos="10350"/>
                        </w:tabs>
                        <w:spacing w:line="360" w:lineRule="auto"/>
                        <w:ind w:left="1080" w:hanging="360"/>
                        <w:jc w:val="center"/>
                        <w:rPr>
                          <w:rFonts w:ascii="Cambria" w:eastAsia="MS Mincho" w:hAnsi="Cambria"/>
                          <w:b/>
                          <w:color w:val="3E4931"/>
                          <w:sz w:val="32"/>
                          <w:szCs w:val="32"/>
                        </w:rPr>
                      </w:pPr>
                      <w:r w:rsidRPr="008544C7">
                        <w:rPr>
                          <w:rFonts w:ascii="Cambria" w:eastAsia="MS Mincho" w:hAnsi="Cambria"/>
                          <w:b/>
                          <w:color w:val="3E4931"/>
                          <w:sz w:val="32"/>
                          <w:szCs w:val="32"/>
                        </w:rPr>
                        <w:t>Bristol Bay Regional Vision Statement</w:t>
                      </w:r>
                    </w:p>
                    <w:p w:rsidR="007B0100" w:rsidRPr="008544C7" w:rsidRDefault="007B0100" w:rsidP="007B0100">
                      <w:pPr>
                        <w:tabs>
                          <w:tab w:val="left" w:pos="1080"/>
                        </w:tabs>
                        <w:spacing w:line="270" w:lineRule="atLeast"/>
                        <w:ind w:left="1080" w:right="360" w:hanging="360"/>
                        <w:textAlignment w:val="baseline"/>
                        <w:rPr>
                          <w:rFonts w:ascii="Calibri" w:hAnsi="Calibri"/>
                          <w:b/>
                          <w:bCs/>
                          <w:color w:val="444444"/>
                          <w:bdr w:val="none" w:sz="0" w:space="0" w:color="auto" w:frame="1"/>
                        </w:rPr>
                      </w:pP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The foundation</w:t>
                      </w:r>
                      <w:r w:rsidRPr="008544C7">
                        <w:rPr>
                          <w:rFonts w:ascii="Calibri" w:eastAsia="MS Gothic" w:hAnsi="Calibri"/>
                          <w:color w:val="3E4931"/>
                          <w:sz w:val="26"/>
                          <w:szCs w:val="26"/>
                        </w:rPr>
                        <w:t xml:space="preserve"> </w:t>
                      </w:r>
                      <w:r w:rsidRPr="008544C7">
                        <w:rPr>
                          <w:rFonts w:ascii="Calibri" w:hAnsi="Calibri"/>
                          <w:color w:val="3E4931"/>
                          <w:sz w:val="26"/>
                          <w:szCs w:val="26"/>
                        </w:rPr>
                        <w:t>of the Bristol Bay Region is committed families, connected to our land and waters.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believe</w:t>
                      </w:r>
                      <w:r w:rsidRPr="008544C7">
                        <w:rPr>
                          <w:rFonts w:ascii="Calibri" w:eastAsia="MS Gothic" w:hAnsi="Calibri"/>
                          <w:color w:val="3E4931"/>
                          <w:sz w:val="26"/>
                          <w:szCs w:val="26"/>
                        </w:rPr>
                        <w:t xml:space="preserve"> </w:t>
                      </w:r>
                      <w:r w:rsidRPr="008544C7">
                        <w:rPr>
                          <w:rFonts w:ascii="Calibri" w:hAnsi="Calibri"/>
                          <w:color w:val="3E4931"/>
                          <w:sz w:val="26"/>
                          <w:szCs w:val="26"/>
                        </w:rPr>
                        <w:t>future generations can live healthy and productive lives here.  Across our region, we share common values of community, culture, and subsistence.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see</w:t>
                      </w:r>
                      <w:r w:rsidRPr="008544C7">
                        <w:rPr>
                          <w:rFonts w:ascii="Calibri" w:eastAsia="MS Gothic" w:hAnsi="Calibri"/>
                          <w:color w:val="3E4931"/>
                          <w:sz w:val="26"/>
                          <w:szCs w:val="26"/>
                        </w:rPr>
                        <w:t xml:space="preserve"> </w:t>
                      </w:r>
                      <w:r w:rsidRPr="008544C7">
                        <w:rPr>
                          <w:rFonts w:ascii="Calibri" w:hAnsi="Calibri"/>
                          <w:color w:val="3E4931"/>
                          <w:sz w:val="26"/>
                          <w:szCs w:val="26"/>
                        </w:rPr>
                        <w:t>a future of educated, creative people who are well prepared for life. This requires: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Excellent schools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Safe and healthy families</w:t>
                      </w:r>
                    </w:p>
                    <w:p w:rsidR="007B0100" w:rsidRPr="008544C7" w:rsidRDefault="007B0100" w:rsidP="007B0100">
                      <w:pPr>
                        <w:numPr>
                          <w:ilvl w:val="0"/>
                          <w:numId w:val="1"/>
                        </w:numPr>
                        <w:tabs>
                          <w:tab w:val="num" w:pos="1440"/>
                        </w:tabs>
                        <w:spacing w:after="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Local jobs</w:t>
                      </w:r>
                    </w:p>
                    <w:p w:rsidR="007B0100" w:rsidRPr="008544C7" w:rsidRDefault="007B0100" w:rsidP="007B0100">
                      <w:pPr>
                        <w:numPr>
                          <w:ilvl w:val="0"/>
                          <w:numId w:val="1"/>
                        </w:numPr>
                        <w:tabs>
                          <w:tab w:val="num" w:pos="1440"/>
                        </w:tabs>
                        <w:spacing w:after="120" w:line="240" w:lineRule="auto"/>
                        <w:ind w:left="1440" w:right="360"/>
                        <w:textAlignment w:val="baseline"/>
                        <w:rPr>
                          <w:rFonts w:ascii="Calibri" w:hAnsi="Calibri"/>
                          <w:color w:val="3E4931"/>
                          <w:sz w:val="26"/>
                          <w:szCs w:val="26"/>
                        </w:rPr>
                      </w:pPr>
                      <w:r w:rsidRPr="008544C7">
                        <w:rPr>
                          <w:rFonts w:ascii="Calibri" w:hAnsi="Calibri"/>
                          <w:color w:val="3E4931"/>
                          <w:sz w:val="26"/>
                          <w:szCs w:val="26"/>
                        </w:rPr>
                        <w:t>Understanding our cultural values and traditions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assert</w:t>
                      </w:r>
                      <w:r w:rsidRPr="008544C7">
                        <w:rPr>
                          <w:rFonts w:ascii="Calibri" w:eastAsia="MS Gothic" w:hAnsi="Calibri"/>
                          <w:color w:val="3E4931"/>
                          <w:sz w:val="26"/>
                          <w:szCs w:val="26"/>
                        </w:rPr>
                        <w:t xml:space="preserve"> </w:t>
                      </w:r>
                      <w:r w:rsidRPr="008544C7">
                        <w:rPr>
                          <w:rFonts w:ascii="Calibri" w:hAnsi="Calibri"/>
                          <w:color w:val="3E4931"/>
                          <w:sz w:val="26"/>
                          <w:szCs w:val="26"/>
                        </w:rPr>
                        <w:t>the importance of local voices in managing our natural resources to continue our way of life.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welcome</w:t>
                      </w:r>
                      <w:r w:rsidRPr="008544C7">
                        <w:rPr>
                          <w:rFonts w:ascii="Calibri" w:eastAsia="MS Gothic" w:hAnsi="Calibri"/>
                          <w:color w:val="3E4931"/>
                          <w:sz w:val="26"/>
                          <w:szCs w:val="26"/>
                        </w:rPr>
                        <w:t xml:space="preserve"> </w:t>
                      </w:r>
                      <w:r w:rsidRPr="008544C7">
                        <w:rPr>
                          <w:rFonts w:ascii="Calibri" w:hAnsi="Calibri"/>
                          <w:color w:val="3E4931"/>
                          <w:sz w:val="26"/>
                          <w:szCs w:val="26"/>
                        </w:rPr>
                        <w:t>sustainable economic development that advances the values of Bristol Bay people. Our future includes diverse economic opportunities in businesses and industries based largely on renewable resources. Large development based on renewable and non-renewable resources must not threaten our land, our waters, or our way of life.</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foster</w:t>
                      </w:r>
                      <w:r w:rsidRPr="008544C7">
                        <w:rPr>
                          <w:rFonts w:ascii="Calibri" w:eastAsia="MS Gothic" w:hAnsi="Calibri"/>
                          <w:color w:val="3E4931"/>
                          <w:sz w:val="26"/>
                          <w:szCs w:val="26"/>
                        </w:rPr>
                        <w:t xml:space="preserve"> </w:t>
                      </w:r>
                      <w:r w:rsidRPr="008544C7">
                        <w:rPr>
                          <w:rFonts w:ascii="Calibri" w:hAnsi="Calibri"/>
                          <w:color w:val="3E4931"/>
                          <w:sz w:val="26"/>
                          <w:szCs w:val="26"/>
                        </w:rPr>
                        <w:t>cooperation among local and regional entities to coordinate infrastructure planning for stronger, more affordable communities. Investments in energy, housing and transportation promote sustainable communities and spur economic development.</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recognize</w:t>
                      </w:r>
                      <w:r w:rsidRPr="008544C7">
                        <w:rPr>
                          <w:rFonts w:ascii="Calibri" w:eastAsia="MS Gothic" w:hAnsi="Calibri"/>
                          <w:color w:val="3E4931"/>
                          <w:sz w:val="26"/>
                          <w:szCs w:val="26"/>
                        </w:rPr>
                        <w:t xml:space="preserve"> </w:t>
                      </w:r>
                      <w:r w:rsidRPr="008544C7">
                        <w:rPr>
                          <w:rFonts w:ascii="Calibri" w:hAnsi="Calibri"/>
                          <w:color w:val="3E4931"/>
                          <w:sz w:val="26"/>
                          <w:szCs w:val="26"/>
                        </w:rPr>
                        <w:t>the need to locate new sources of capital to implement this vision with a goal of generating self-sustaining regional economies.</w:t>
                      </w:r>
                    </w:p>
                    <w:p w:rsidR="007B0100" w:rsidRPr="008544C7" w:rsidRDefault="007B0100" w:rsidP="007B0100">
                      <w:pPr>
                        <w:tabs>
                          <w:tab w:val="left" w:pos="1080"/>
                        </w:tabs>
                        <w:spacing w:after="120" w:line="270" w:lineRule="atLeast"/>
                        <w:ind w:left="1080" w:right="360" w:hanging="360"/>
                        <w:textAlignment w:val="baseline"/>
                        <w:rPr>
                          <w:rFonts w:ascii="Calibri" w:hAnsi="Calibri"/>
                          <w:color w:val="3E4931"/>
                          <w:sz w:val="26"/>
                          <w:szCs w:val="26"/>
                        </w:rPr>
                      </w:pPr>
                      <w:r w:rsidRPr="008544C7">
                        <w:rPr>
                          <w:rFonts w:ascii="Calibri" w:hAnsi="Calibri"/>
                          <w:b/>
                          <w:bCs/>
                          <w:color w:val="3E4931"/>
                          <w:sz w:val="26"/>
                          <w:szCs w:val="26"/>
                          <w:bdr w:val="none" w:sz="0" w:space="0" w:color="auto" w:frame="1"/>
                        </w:rPr>
                        <w:t>We are unified</w:t>
                      </w:r>
                      <w:r w:rsidRPr="008544C7">
                        <w:rPr>
                          <w:rFonts w:ascii="Calibri" w:eastAsia="MS Gothic" w:hAnsi="Calibri"/>
                          <w:color w:val="3E4931"/>
                          <w:sz w:val="26"/>
                          <w:szCs w:val="26"/>
                        </w:rPr>
                        <w:t xml:space="preserve"> </w:t>
                      </w:r>
                      <w:r w:rsidRPr="008544C7">
                        <w:rPr>
                          <w:rFonts w:ascii="Calibri" w:hAnsi="Calibri"/>
                          <w:color w:val="3E4931"/>
                          <w:sz w:val="26"/>
                          <w:szCs w:val="26"/>
                        </w:rPr>
                        <w:t>to secure a prosperous future.</w:t>
                      </w:r>
                    </w:p>
                    <w:p w:rsidR="007B0100" w:rsidRPr="008544C7" w:rsidRDefault="007B0100" w:rsidP="007B0100">
                      <w:pPr>
                        <w:tabs>
                          <w:tab w:val="left" w:pos="1080"/>
                        </w:tabs>
                        <w:ind w:left="1080" w:hanging="360"/>
                        <w:jc w:val="right"/>
                        <w:rPr>
                          <w:rFonts w:ascii="Calibri" w:eastAsia="MS Mincho" w:hAnsi="Calibri"/>
                          <w:color w:val="3E4931"/>
                        </w:rPr>
                      </w:pPr>
                      <w:r>
                        <w:rPr>
                          <w:rFonts w:ascii="Calibri" w:eastAsia="MS Mincho" w:hAnsi="Calibri"/>
                          <w:noProof/>
                          <w:color w:val="3E4931"/>
                        </w:rPr>
                        <w:t>BBRV Commissioners,</w:t>
                      </w:r>
                      <w:r w:rsidRPr="008544C7">
                        <w:rPr>
                          <w:rFonts w:ascii="Calibri" w:eastAsia="MS Mincho" w:hAnsi="Calibri"/>
                          <w:color w:val="3E4931"/>
                        </w:rPr>
                        <w:t xml:space="preserve"> February 2011</w:t>
                      </w:r>
                    </w:p>
                    <w:p w:rsidR="007B0100" w:rsidRDefault="007B0100" w:rsidP="007B0100"/>
                  </w:txbxContent>
                </v:textbox>
              </v:shape>
            </w:pict>
          </mc:Fallback>
        </mc:AlternateContent>
      </w:r>
    </w:p>
    <w:sectPr w:rsidR="007B0100" w:rsidRPr="007B0100" w:rsidSect="00163DFC">
      <w:footerReference w:type="defaul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4C9" w:rsidRDefault="00D674C9">
      <w:pPr>
        <w:spacing w:after="0" w:line="240" w:lineRule="auto"/>
      </w:pPr>
      <w:r>
        <w:separator/>
      </w:r>
    </w:p>
  </w:endnote>
  <w:endnote w:type="continuationSeparator" w:id="0">
    <w:p w:rsidR="00D674C9" w:rsidRDefault="00D6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433486"/>
      <w:docPartObj>
        <w:docPartGallery w:val="Page Numbers (Bottom of Page)"/>
        <w:docPartUnique/>
      </w:docPartObj>
    </w:sdtPr>
    <w:sdtContent>
      <w:sdt>
        <w:sdtPr>
          <w:id w:val="-1687205653"/>
          <w:docPartObj>
            <w:docPartGallery w:val="Page Numbers (Top of Page)"/>
            <w:docPartUnique/>
          </w:docPartObj>
        </w:sdtPr>
        <w:sdtContent>
          <w:p w:rsidR="00540C3E" w:rsidRDefault="00540C3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3</w:t>
            </w:r>
            <w:r>
              <w:rPr>
                <w:b/>
                <w:bCs/>
                <w:szCs w:val="24"/>
              </w:rPr>
              <w:fldChar w:fldCharType="end"/>
            </w:r>
          </w:p>
        </w:sdtContent>
      </w:sdt>
    </w:sdtContent>
  </w:sdt>
  <w:p w:rsidR="006504AC" w:rsidRPr="005446C1" w:rsidRDefault="00D674C9" w:rsidP="00544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4AC" w:rsidRPr="00EF7E09" w:rsidRDefault="007B0100" w:rsidP="00163DFC">
    <w:pPr>
      <w:pStyle w:val="Footer"/>
      <w:rPr>
        <w:sz w:val="22"/>
      </w:rPr>
    </w:pPr>
    <w:r w:rsidRPr="00EF7E09">
      <w:rPr>
        <w:sz w:val="22"/>
      </w:rPr>
      <w:t>FY2015 ANA SEDS-AK (HHS-2015-ACF-ANA-NK-0960)</w:t>
    </w:r>
  </w:p>
  <w:p w:rsidR="006504AC" w:rsidRPr="00EF7E09" w:rsidRDefault="007B0100">
    <w:pPr>
      <w:pStyle w:val="Footer"/>
      <w:rPr>
        <w:sz w:val="22"/>
      </w:rPr>
    </w:pPr>
    <w:r w:rsidRPr="00EF7E09">
      <w:rPr>
        <w:sz w:val="22"/>
      </w:rPr>
      <w:t>Narrative</w:t>
    </w:r>
    <w:r w:rsidRPr="00EF7E09">
      <w:rPr>
        <w:sz w:val="22"/>
      </w:rPr>
      <w:tab/>
    </w:r>
    <w:r w:rsidRPr="00EF7E09">
      <w:rPr>
        <w:sz w:val="22"/>
      </w:rPr>
      <w:tab/>
    </w:r>
    <w:sdt>
      <w:sdtPr>
        <w:rPr>
          <w:sz w:val="22"/>
        </w:rPr>
        <w:id w:val="1274292341"/>
        <w:docPartObj>
          <w:docPartGallery w:val="Page Numbers (Bottom of Page)"/>
          <w:docPartUnique/>
        </w:docPartObj>
      </w:sdtPr>
      <w:sdtEndPr/>
      <w:sdtContent>
        <w:sdt>
          <w:sdtPr>
            <w:rPr>
              <w:sz w:val="22"/>
            </w:rPr>
            <w:id w:val="860082579"/>
            <w:docPartObj>
              <w:docPartGallery w:val="Page Numbers (Top of Page)"/>
              <w:docPartUnique/>
            </w:docPartObj>
          </w:sdtPr>
          <w:sdtEndPr/>
          <w:sdtContent>
            <w:r w:rsidRPr="00EF7E09">
              <w:rPr>
                <w:sz w:val="22"/>
              </w:rPr>
              <w:t xml:space="preserve">Page </w:t>
            </w:r>
            <w:r w:rsidRPr="00EF7E09">
              <w:rPr>
                <w:b/>
                <w:bCs/>
                <w:sz w:val="22"/>
              </w:rPr>
              <w:fldChar w:fldCharType="begin"/>
            </w:r>
            <w:r w:rsidRPr="00EF7E09">
              <w:rPr>
                <w:b/>
                <w:bCs/>
                <w:sz w:val="22"/>
              </w:rPr>
              <w:instrText xml:space="preserve"> PAGE </w:instrText>
            </w:r>
            <w:r w:rsidRPr="00EF7E09">
              <w:rPr>
                <w:b/>
                <w:bCs/>
                <w:sz w:val="22"/>
              </w:rPr>
              <w:fldChar w:fldCharType="separate"/>
            </w:r>
            <w:r w:rsidR="00540C3E">
              <w:rPr>
                <w:b/>
                <w:bCs/>
                <w:noProof/>
                <w:sz w:val="22"/>
              </w:rPr>
              <w:t>1</w:t>
            </w:r>
            <w:r w:rsidRPr="00EF7E09">
              <w:rPr>
                <w:b/>
                <w:bCs/>
                <w:sz w:val="22"/>
              </w:rPr>
              <w:fldChar w:fldCharType="end"/>
            </w:r>
            <w:r w:rsidRPr="00EF7E09">
              <w:rPr>
                <w:sz w:val="22"/>
              </w:rPr>
              <w:t xml:space="preserve"> of </w:t>
            </w:r>
            <w:r>
              <w:rPr>
                <w:b/>
                <w:bCs/>
                <w:sz w:val="22"/>
              </w:rPr>
              <w:t>32</w:t>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4C9" w:rsidRDefault="00D674C9">
      <w:pPr>
        <w:spacing w:after="0" w:line="240" w:lineRule="auto"/>
      </w:pPr>
      <w:r>
        <w:separator/>
      </w:r>
    </w:p>
  </w:footnote>
  <w:footnote w:type="continuationSeparator" w:id="0">
    <w:p w:rsidR="00D674C9" w:rsidRDefault="00D674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3037"/>
    <w:multiLevelType w:val="multilevel"/>
    <w:tmpl w:val="B822A732"/>
    <w:lvl w:ilvl="0">
      <w:numFmt w:val="bullet"/>
      <w:lvlText w:val="•"/>
      <w:lvlJc w:val="left"/>
      <w:pPr>
        <w:tabs>
          <w:tab w:val="num" w:pos="720"/>
        </w:tabs>
        <w:ind w:left="720" w:hanging="360"/>
      </w:pPr>
      <w:rPr>
        <w:rFonts w:ascii="Times New Roman" w:hAnsi="Times New Roman" w:cs="Times New Roman"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023B2B"/>
    <w:multiLevelType w:val="hybridMultilevel"/>
    <w:tmpl w:val="43F47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100"/>
    <w:rsid w:val="00540C3E"/>
    <w:rsid w:val="007B0100"/>
    <w:rsid w:val="00B62DCC"/>
    <w:rsid w:val="00CB7E56"/>
    <w:rsid w:val="00D6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100"/>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B0100"/>
    <w:rPr>
      <w:rFonts w:ascii="Times New Roman" w:hAnsi="Times New Roman"/>
      <w:sz w:val="24"/>
    </w:rPr>
  </w:style>
  <w:style w:type="paragraph" w:styleId="Footer">
    <w:name w:val="footer"/>
    <w:basedOn w:val="Normal"/>
    <w:link w:val="FooterChar"/>
    <w:uiPriority w:val="99"/>
    <w:unhideWhenUsed/>
    <w:rsid w:val="007B010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7B0100"/>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100"/>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7B0100"/>
    <w:rPr>
      <w:rFonts w:ascii="Times New Roman" w:hAnsi="Times New Roman"/>
      <w:sz w:val="24"/>
    </w:rPr>
  </w:style>
  <w:style w:type="paragraph" w:styleId="Footer">
    <w:name w:val="footer"/>
    <w:basedOn w:val="Normal"/>
    <w:link w:val="FooterChar"/>
    <w:uiPriority w:val="99"/>
    <w:unhideWhenUsed/>
    <w:rsid w:val="007B0100"/>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7B01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stolbayvisio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Heyano</dc:creator>
  <cp:lastModifiedBy>Patty Heyano</cp:lastModifiedBy>
  <cp:revision>3</cp:revision>
  <dcterms:created xsi:type="dcterms:W3CDTF">2015-04-29T23:08:00Z</dcterms:created>
  <dcterms:modified xsi:type="dcterms:W3CDTF">2015-04-29T23:10:00Z</dcterms:modified>
</cp:coreProperties>
</file>